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выполнении Плана противодействия коррупции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управлении информационных проектов Новосибирской области на </w:t>
      </w:r>
      <w:r>
        <w:rPr>
          <w:rFonts w:ascii="Times New Roman" w:hAnsi="Times New Roman" w:cs="Times New Roman"/>
          <w:b/>
          <w:sz w:val="24"/>
          <w:szCs w:val="24"/>
        </w:rPr>
        <w:t xml:space="preserve">2021-2024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tabs>
          <w:tab w:val="left" w:pos="85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06"/>
        <w:gridCol w:w="8200"/>
        <w:gridCol w:w="4854"/>
      </w:tblGrid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исполнении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215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Систематизация и актуализация нормативных правовых актов управления информационных проектов Новосибирской области (далее – управление):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подготовка и принятие нормативных правовых актов управления в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 противодействия коррупции, признания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проведение антикоррупционной экспертизы нормативных правовых актов управления и их проектов;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направление проектов нормативных правовых актов управления для изучения в прокуратуру Новосибирской области;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размещ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проектов нормативных правовых актов управления на официальном сайте управления в информационно-телекоммуникационной сети «Интернет»,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pStyle w:val="7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отсутствовала необходимость разработки нормативных правовых актов в сфере противодействия коррупции и внесения изменений в действующие нормативно-правовые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управления информационных проектов Новосибирской области (далее – управление) от 23.12.2019 № 116 «О порядке проведения правовой и антикоррупционной экспертизы правовых актов и проектов правовых актов управления информационных проектов Новосибирской области» 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управлением проведена антикоррупционная экспертиза 3-х действующих приказов управления,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проектов нормативных правовых актов.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проведения независимой антикоррупционной экспертизы проекты нормативных правовых актов размещаются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управления, а также в государственной информационной системе Новосибирской области «Электронная демократия Новосибирской области».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0" w:right="102" w:firstLine="703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во исполнение соглашений между Правительством Новосибирской области и прокуратурой Новосибирской области от 29.04.2019 № 19 о взаимодействии в сфере нормотворчества, от 19.12.2014 № 56 об информационном взаимодействии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системы электронного документооборота и делопроизводства копии проектов нормативных правовых актов направляются в прокуратуру Новосибирской области для изучения их на предмет соответствия федеральному и областному законодательству, наличию в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коррупциогенных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Формирование у государственных гражданских служащих управления и работников подведомственных управлению государственных учреждений, организаций отрицательного отношения к коррупции, путем: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ознакомления граждан при поступлении на государственную гражданскую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Новосибирской области с Кодексом этики и служебного поведения государственных гражданских служащих Новосибирской области и иными нормативными правовыми актами, определяющими права и обязанности по замещаемой должности государственной гражданской службы;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ознакомление граждан при поступлении на работу с Кодексами этики работников подведомственных управлению государственных учреждений, организаций;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размещения соответствующей информации на официальном сайте управления, подведомственных управлению государственных учреждений, организаций в информационно-телекоммуникационной сети «Интернет» и поддержания ее в актуальном состоянии;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 организации и проведения обучающих семинаров и (или) совещаний, иных мероприятий с работниками подведомственных управлению государственных учреждений, организаций, ответственными за работу по профилактике коррупционных и иных правонарушений;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4"/>
              <w:ind w:left="0" w:right="102"/>
              <w:jc w:val="both"/>
              <w:spacing w:after="0" w:line="240" w:lineRule="auto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 проведение разъяснительной работы по вопросам предотвращения и урегулирования конфликта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нтересов, соблюдения запретов, ограничений, исполнения иных обязанностей, установленных законодательством в целях противодействия коррупции, лицами, замещающими должности государственной гражданской службы Новосибирской области, в том числе ознакомление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практическими пособиями, памятками, разработанными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иными материалами методического характера.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граждан 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осударственную гражданскую службу Новосибирской области производится их ознакомление с Кодексом этики и служебного поведения государственных гражданских служащих Новосибирской области, нормативными правовыми актами, устанавливающими ограничения и запреты,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 предотвр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ащении или об урегулировании конфликта интересов и исполнение обязанностей, установленных в целях противодействия коррупции и иными нормативными правовыми актами, определяющими права и обязанности по замещаемой должности государственной гражданской службы.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работу в государственные учреждения, подведомственные управлению, осуществляется их ознакомление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кодексами профессиональной этики, определяющими свод общих принципов профессиональной этики и основных правил поведения, которыми должны руководствоваться сотрудники.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ind w:right="102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управления в разделе «Противодействие коррупции» на постоянной основе размещается и поддерживается в актуальном состоянии информация о деятельности управления в сфере противодействия коррупции (</w:t>
            </w:r>
            <w:hyperlink r:id="rId11" w:tooltip="http://uip.nso.ru/page/7267" w:history="1">
              <w:r>
                <w:rPr>
                  <w:rStyle w:val="701"/>
                  <w:rFonts w:ascii="Times New Roman" w:hAnsi="Times New Roman" w:cs="Times New Roman"/>
                  <w:sz w:val="24"/>
                  <w:szCs w:val="24"/>
                </w:rPr>
                <w:t xml:space="preserve">http://uip.nso.ru/page/7267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сайтах (при наличии) и информационных стендах государственных учреждений, подведомственных управлению, на постоянной основе размещаются материалы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антикоррупционной тематике, которые поддерживаются в актуальном состоянии.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целях реализации мероприятия 4 Программы «Антикоррупционное просвещение в Новосибирской области на 2022-2024 годы», утвержденной постановлением Правительства Новосибирской области от 15.02.2022 № 43-п, на совещании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 руководителями государственных учреждений Новосибирской области, подведомственных управлению информационных проектов Новосибирской области, которое состоится 23 декабря 2022 года, будет рассмотрен вопрос: Конфликт интересов и порядок его урегулирования».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управлении разъяснительная работа по вопросам предотвращения и урегулирования конфликта интересов при исполнении служебных (должностных) обязанностей, соблюдения запретов, ограничений,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иных обязанностей, установленных законодательством в целях противодействия коррупции, осуществляется на постоянной основе. Государственные гражданские служащие Новосибирской области, замещающие должности государственной гражданской службы в управлении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нормативными правовыми актами в сфере противодействия коррупции, вносимыми в них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енениями, методическими материалами министерства труда и социальной защиты Российской Федерации,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государственных гражданских служащих управления, в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Отсутствовала необходимость в прохождении обучения в связи с повышением квалификации по ДПО «Государственная политика в области противодействия коррупции» в 2022 году.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впервые поступивших на государственную службу или на работу в управление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марте 2022 г. 1 государственный гражданский служащий прошел обучение по профессиональному развитию в области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служащих и работников управления,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right="103"/>
              <w:jc w:val="center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запланировано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978"/>
        </w:trPr>
        <w:tc>
          <w:tcPr>
            <w:shd w:val="clear" w:color="auto" w:fill="auto"/>
            <w:tcBorders>
              <w:bottom w:val="single" w:color="auto" w:sz="4" w:space="0"/>
            </w:tcBorders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16" w:type="pct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своевре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менностью представления и анализ сведений о доходах, расходах, об имуществе и обязательствах имущественного характера, представленных государственными гражданскими служащими управления, 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 декларационной кампании 2022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обеспечено своевременное предоставление сведений 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государственными гражданскими служащими, замещавшими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состоянию на 31 декабря 2021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должности гражданской службы в управлении, а также руководителями подведомственных учреждений.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 детальный анализ представленных сведений.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>
          <w:trHeight w:val="3094"/>
        </w:trPr>
        <w:tc>
          <w:tcPr>
            <w:shd w:val="clear" w:color="auto" w:fill="auto"/>
            <w:tcBorders>
              <w:bottom w:val="single" w:color="auto" w:sz="4" w:space="0"/>
            </w:tcBorders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16" w:type="pct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характера, 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тавленных государственными гражданскими служащими управления, руководителями подведомственных управлению государственных учреждений на официальном сайте управления в информационно-телекоммуникационной сети «Интернет» в установленный законодательством срок.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установленный срок сведения были размещены на официальном сайте управления.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pStyle w:val="7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208"/>
        </w:trPr>
        <w:tc>
          <w:tcPr>
            <w:shd w:val="clear" w:color="auto" w:fill="auto"/>
            <w:tcBorders>
              <w:bottom w:val="none" w:color="000000" w:sz="4" w:space="0"/>
            </w:tcBorders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 (при наличии оснований), представленных: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 государственными гражданскими служащими управления;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 руководителями подведомственных управлению государственных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pStyle w:val="7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2022 года основания для проведения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руководителями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389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соответствием расходов лиц, замещающих должности  государственной гражданской службы осуществление полномочий по которым влечет за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их доходам.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основания для инициирования осуществления контроля отсутствовали.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62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соблюдения государственными гражданскими служащими управления запретов, ограничений и требований, установленных в целях противодействия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истекший период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нарушений запретов, ограничений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правонарушений, не установлено.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73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каждом случае несоблюдения требований о предотвращении или об урегулировании конфликта интересов государственными гражданскими служащими управления на официальном сайте управления в информационно-телекоммуникационной сети «Интернет».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right="103" w:firstLine="709"/>
              <w:jc w:val="both"/>
              <w:tabs>
                <w:tab w:val="left" w:pos="4746" w:leader="none"/>
              </w:tabs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случаев несоблюдения требований о предотвращении или об урегулировании конфликта интересов государственными гражданскими служащими управления, информация на официальном сайте управления в информационно-телекоммуникационной сети «Интернет» не размещалась.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127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карты коррупционных рисков управления (при наличии необходимости корректировки мер по минимизации (устранению) коррупционных рисков).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анализа коррупционных рисков, возникающих при реализации государственными гражданскими служащими Новосибирской области, замещающими должности государственной гражданской службы в управлении, своих полномочий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новых коррупционных рисков не выявлено.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681"/>
        </w:trPr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работы комиссии по соблюдению требований к служебному поведению государственных гражданских служащих и урегулированию конфликта интересов управления информационных проектов Новосибирской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заседаний комиссий не проводилось.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координации и контроля за реализацией подведомственными государственными учреждениями, организациями, требований статьи 13.3 Федерального закона от 25.12.2008 № 273-ФЗ «О противодействии коррупции».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омственными учреждениями требований статьи 13.3 Федерального закона от 25.12.2008 № 273-ФЗ «О противодействии коррупции» осуществляется управлением посредством проведения ежегодного мониторинга принятия антикоррупционных мер в подведомственных учреждениях.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антикоррупционной работы утверждены во всех государственных учреждениях, подведомственных управлению.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учреждений на постоянной основе размещается информация по антикоррупционной тематике.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pStyle w:val="704"/>
              <w:ind w:left="102" w:right="102"/>
              <w:jc w:val="both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в информационно-телекоммуникац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ионной сети «Интернет» активной ссылки на страницу официального сайта Губернатора Новосибирской области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возможности анкетирования по оценке уровня коррупции на сайте управления в информационно-телекоммуникационной сети «Интернет»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активная ссылка на страницу официального сайта Губернатора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Правительства Новосибирской области, на которой размещены вопросы анкеты по оценке населением уровня коррупции и эффективности принимаемых областными исполнительными органами государственной власти Новосибирской области мер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left="102" w:right="10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517" w:type="pct"/>
            <w:textDirection w:val="lrTb"/>
            <w:noWrap w:val="false"/>
          </w:tcPr>
          <w:p>
            <w:pPr>
              <w:jc w:val="center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816" w:type="pct"/>
            <w:textDirection w:val="lrTb"/>
            <w:noWrap w:val="false"/>
          </w:tcPr>
          <w:p>
            <w:pPr>
              <w:jc w:val="both"/>
              <w:tabs>
                <w:tab w:val="left" w:pos="858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 региональной антикоррупционной программы на соответствующий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1667" w:type="pct"/>
            <w:textDirection w:val="lrTb"/>
            <w:noWrap w:val="false"/>
          </w:tcPr>
          <w:p>
            <w:pPr>
              <w:ind w:left="100" w:right="10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предусмотренные региональной программой «Противодействие коррупции в Новосибирской области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годы», утвержденной постановлением Губернатора Новосибирской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27.09.2021 № 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исполняются с соблюдением установленных сроков.</w:t>
            </w:r>
            <w:bookmarkStart w:id="4" w:name="_GoBack"/>
            <w:r/>
            <w:bookmarkEnd w:id="4"/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headerReference w:type="first" r:id="rId10"/>
      <w:footnotePr/>
      <w:endnotePr/>
      <w:type w:val="nextPage"/>
      <w:pgSz w:w="16838" w:h="11905" w:orient="landscape"/>
      <w:pgMar w:top="1418" w:right="1134" w:bottom="567" w:left="1134" w:header="709" w:footer="709" w:gutter="0"/>
      <w:pgNumType w:start="2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2"/>
      <w:jc w:val="center"/>
    </w:pPr>
    <w:r/>
    <w:r/>
  </w:p>
  <w:p>
    <w:pPr>
      <w:pStyle w:val="70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874998093"/>
      <w:docPartObj>
        <w:docPartGallery w:val="Page Numbers (Top of Page)"/>
        <w:docPartUnique w:val="true"/>
      </w:docPartObj>
      <w:rPr/>
    </w:sdtPr>
    <w:sdtContent>
      <w:p>
        <w:pPr>
          <w:pStyle w:val="70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  <w:r/>
      </w:p>
    </w:sdtContent>
  </w:sdt>
  <w:p>
    <w:pPr>
      <w:pStyle w:val="7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6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6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6"/>
    <w:link w:val="702"/>
    <w:uiPriority w:val="99"/>
  </w:style>
  <w:style w:type="character" w:styleId="45">
    <w:name w:val="Footer Char"/>
    <w:basedOn w:val="696"/>
    <w:link w:val="705"/>
    <w:uiPriority w:val="99"/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5"/>
    <w:uiPriority w:val="99"/>
  </w:style>
  <w:style w:type="table" w:styleId="48">
    <w:name w:val="Table Grid"/>
    <w:basedOn w:val="69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6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6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qFormat/>
    <w:pPr>
      <w:spacing w:after="200" w:line="276" w:lineRule="auto"/>
    </w:p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700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701">
    <w:name w:val="Hyperlink"/>
    <w:basedOn w:val="696"/>
    <w:uiPriority w:val="99"/>
    <w:unhideWhenUsed/>
    <w:rPr>
      <w:color w:val="0563c1" w:themeColor="hyperlink"/>
      <w:u w:val="single"/>
    </w:rPr>
  </w:style>
  <w:style w:type="paragraph" w:styleId="702">
    <w:name w:val="Header"/>
    <w:basedOn w:val="695"/>
    <w:link w:val="70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3" w:customStyle="1">
    <w:name w:val="Верхний колонтитул Знак"/>
    <w:basedOn w:val="696"/>
    <w:link w:val="702"/>
    <w:uiPriority w:val="99"/>
  </w:style>
  <w:style w:type="paragraph" w:styleId="704">
    <w:name w:val="List Paragraph"/>
    <w:basedOn w:val="695"/>
    <w:uiPriority w:val="34"/>
    <w:qFormat/>
    <w:pPr>
      <w:contextualSpacing/>
      <w:ind w:left="720"/>
    </w:pPr>
  </w:style>
  <w:style w:type="paragraph" w:styleId="705">
    <w:name w:val="Footer"/>
    <w:basedOn w:val="695"/>
    <w:link w:val="7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6" w:customStyle="1">
    <w:name w:val="Нижний колонтитул Знак"/>
    <w:basedOn w:val="696"/>
    <w:link w:val="705"/>
    <w:uiPriority w:val="99"/>
  </w:style>
  <w:style w:type="character" w:styleId="707">
    <w:name w:val="annotation reference"/>
    <w:uiPriority w:val="99"/>
    <w:unhideWhenUsed/>
    <w:rPr>
      <w:sz w:val="16"/>
      <w:szCs w:val="16"/>
    </w:rPr>
  </w:style>
  <w:style w:type="paragraph" w:styleId="708">
    <w:name w:val="annotation text"/>
    <w:basedOn w:val="695"/>
    <w:link w:val="709"/>
    <w:uiPriority w:val="99"/>
    <w:unhideWhenUsed/>
    <w:pPr>
      <w:spacing w:after="160" w:line="240" w:lineRule="auto"/>
    </w:pPr>
    <w:rPr>
      <w:rFonts w:ascii="Calibri" w:hAnsi="Calibri" w:eastAsia="Calibri" w:cs="Times New Roman"/>
      <w:sz w:val="20"/>
      <w:szCs w:val="20"/>
    </w:rPr>
  </w:style>
  <w:style w:type="character" w:styleId="709" w:customStyle="1">
    <w:name w:val="Текст примечания Знак"/>
    <w:basedOn w:val="696"/>
    <w:link w:val="708"/>
    <w:uiPriority w:val="99"/>
    <w:rPr>
      <w:rFonts w:ascii="Calibri" w:hAnsi="Calibri" w:eastAsia="Calibri" w:cs="Times New Roman"/>
      <w:sz w:val="20"/>
      <w:szCs w:val="20"/>
    </w:rPr>
  </w:style>
  <w:style w:type="paragraph" w:styleId="710">
    <w:name w:val="Balloon Text"/>
    <w:basedOn w:val="695"/>
    <w:link w:val="7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11" w:customStyle="1">
    <w:name w:val="Текст выноски Знак"/>
    <w:basedOn w:val="696"/>
    <w:link w:val="710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://uip.nso.ru/page/726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Колкунова Ирина Анатольевна</dc:creator>
  <cp:keywords/>
  <dc:description/>
  <cp:revision>30</cp:revision>
  <dcterms:created xsi:type="dcterms:W3CDTF">2020-11-21T09:15:00Z</dcterms:created>
  <dcterms:modified xsi:type="dcterms:W3CDTF">2024-06-05T03:25:40Z</dcterms:modified>
</cp:coreProperties>
</file>