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выполнении Плана противодействия коррупции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управлении информационных проектов Новосибирской области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2021-2024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858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1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8206"/>
        <w:gridCol w:w="4886"/>
      </w:tblGrid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215"/>
        </w:trPr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Систематизация и актуализация нормативных правовых актов управления информационных проектов Новосибирской области (далее – управление):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подготовка и принятие нормативных правовых актов управления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противодействия коррупции, признания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проведение антикоррупционной экспертизы нормативных правовых актов управления и их проектов;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направление проектов нормативных правовых актов управления для изучения в прокуратуру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 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проектов нормативных правовых актов управления на официальном сайте управления в информационно-телекоммуникационной сети «Интернет», а также в государственной информационной системе Новосибирской области «Электронная демократия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pStyle w:val="877"/>
              <w:ind w:firstLine="70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в управлении информационных проектов Новосибирской области (далее – УИП НСО) принято 2 приказа: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7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1) Приказ УИП Новосибирской области от 08.05.2024 № 5-НПА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 Порядке сообщения лицами, замещающими должности государственной гражданской службы Новосибирской области в управлении информационных проектов Новосибирской области, о возникновении личной заинтересованности при исполнении должностных обязанностей, котора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 приводит или может привести к конфликту интересов»;</w:t>
            </w:r>
            <w:r/>
          </w:p>
          <w:p>
            <w:pPr>
              <w:pStyle w:val="87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2) 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Приказ УИП Новосибирской области от 08.05.2024 № 4-НПА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«О Порядке уведомления лицами, замещающими должности государственной гражданской службы Новосибирской области в управлении информационных проектов Новосибирской области, о фактах обращения к ним в целях склонения к совершению коррупционных правонарушений».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7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Внесены изменения в 2 приказа: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1)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УИП Новосибирской области от 31.10.2017 № 106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от 27.11.2024)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предотвращении и урегулировании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области, должностных обязанностей»;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Приказ УИП Новосибирской области от 29.01.2015 № 32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(ред. от 18.09.2024)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«О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управления от 23.12.2019 № 116 «О порядке проведения правовой и антикоррупционной экспертизы правовых актов и проектов правовых актов управления информационных проектов Новосибирской области» за истекший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управлением проведена антикоррупционная экспертиза 3-х 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ействующих приказов управления, а также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 проектов нормативных правовых актов УИП НСО.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проведения независимой антикоррупционной экспертизы проекты нормативных правовых актов размещаются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управления, а также в государственной информационной системе Новосибирской области «Электронная демократия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во исполнение соглашений между Правительством Новосибирской области и прокуратурой Новосибирской области от 29.04.2019 № 19 о взаимодействии в сфере нормотворчества, от 19.12.2014 № 56 об информационном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системы электронного документооборота и делопроизводства копии проектов нормативных правовых актов направляются в прокуратуру Новосибирской области для изучения их на предмет соответствия федеральному и областному законодательству, наличию в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pStyle w:val="881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у государственных гражданских служащих управления и работников подведомственных управлению государственных учреждений, организаций отрицательного отношения к коррупции, путем: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  <w:p>
            <w:pPr>
              <w:pStyle w:val="881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ознакомления граждан при поступлении на государственную гражданскую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Новосибирской области с Кодексом этики и служебного поведения государственных гражданских служащих Новосибирской области и иными нормативными правовыми актами, определяющими права и обязанности по замещаемой должности государственной гражданской службы;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ознакомление граждан при поступлении на работу с Кодексами этики работников подведомственных управлению государственных учреждений, организаций;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размещения соответствующей информации на официальном сайте управления, подведомственных управлению государственных учреждений, организаций в информационно-телекоммуникационной сети «Интернет» и поддержания ее в актуальном состоянии;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 организации и проведения обучающих семинаров и (или) совещаний, иных мероприятий с работниками подведомственных управлению государственных учреждений, организаций, ответственными за работу по профилактике коррупционных и иных правонарушений;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 проведение разъяснительной работы по вопросам предотвращения и урегулирования конфликта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нтересов, соблюдения запретов, ограничений, исполнения иных обязанностей, установленных законодательством в целях противодействия коррупции, лицами, замещающими должности государственной гражданской службы Новосибирской области, в том числе ознакомление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практическими пособиями, памятками, разработанными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иными материалами методического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right="102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граждан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осударственную гражданскую службу Новосибирской области производится их ознакомление с Кодексом этики и служебного поведения государственных гражданских служащих Новосибирской области, нормативными правовыми актами, устанавливающими ограничения и запреты,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 предотвр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ащении или об урегулировании конфликта интересов и исполнение обязанностей, установленных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и иными нормативными правовыми актами, определяющими права и обязанности по замещаемой должности государственной гражданской службы. В 2024 году граждане не принимались на государственную гражданскую службу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граждан на работу в государственные учреждения, подведомственные управлению, осуществляется их ознакомление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кодексами профессиональной этики, определяющими свод общих принципов профессиональной этики и основных правил поведения, которыми должны руководствоваться сотрудники.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в разделе «Противодействие коррупции» на постоянной основе размещается и поддерживается в актуальном состоянии информация о деятельности управления в сфере противодействия коррупции (</w:t>
            </w:r>
            <w:hyperlink r:id="rId11" w:tooltip="http://uip.nso.ru/page/7267" w:history="1">
              <w:r>
                <w:rPr>
                  <w:rStyle w:val="878"/>
                  <w:rFonts w:ascii="Times New Roman" w:hAnsi="Times New Roman" w:cs="Times New Roman"/>
                  <w:sz w:val="24"/>
                  <w:szCs w:val="24"/>
                </w:rPr>
                <w:t xml:space="preserve">http://uip.nso.ru/page/7267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(при наличии) и информационных стендах государственных учреждений, подведомственных управлению, на постоянной основе размещаются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антикоррупционной тематике, которые поддерживаются в актуальном состоянии.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разъяснительная работа по вопросам предотвращения и урегулирования конфликта интересов при исполнении служебных (должностных) обязанностей, соблюдения запретов, ограничений,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иных обязанностей, установленных законодательством в целях противодействия коррупции, осуществляется на постоянной основе. Государственные гражданские служащие Новосибирской области, замещающие должности государственной гражданской службы в управлении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нормативными правовыми актами в сфере противодействия коррупции, вносимыми в них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енениями, методическими материалами министерства труда и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Российской Федерации, департамента организации управления и государственной гражданской службы, а также отдела по профилактике коррупционных и иных правонарушений администрации Губернатора Новосибирской области и Правительства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государственных гражданских служащих управления, в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8589" w:leader="none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Отсутствовала необходимость в прохождении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поступивших на государственную службу или на работу в управление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Отсутствовала необходимость в прохождении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твенных служащих и работников управления,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right="103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прошло трое сотрудников.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78"/>
        </w:trPr>
        <w:tc>
          <w:tcPr>
            <w:shd w:val="clear" w:color="auto" w:fill="auto"/>
            <w:tcBorders>
              <w:bottom w:val="single" w:color="auto" w:sz="4" w:space="0"/>
            </w:tcBorders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206" w:type="dxa"/>
            <w:textDirection w:val="lrTb"/>
            <w:noWrap w:val="false"/>
          </w:tcPr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менностью представления и анализ сведений о доходах, расходах, об имуществе и обязательствах имущественного характера, представленных государственными гражданскими служащими управления, руководителями подведомственных управлению государственных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88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 декларационной кампании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года обеспечено своевременное предоставление сведений 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государственными гражданскими служащими, замещавшими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состоянию на 31 декабря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года должности гражданской службы в управлении, а также руководителями подведомственных учреждений.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 детальный анализ представленных сведений.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3094"/>
        </w:trPr>
        <w:tc>
          <w:tcPr>
            <w:shd w:val="clear" w:color="auto" w:fill="auto"/>
            <w:tcBorders>
              <w:bottom w:val="single" w:color="auto" w:sz="4" w:space="0"/>
            </w:tcBorders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206" w:type="dxa"/>
            <w:textDirection w:val="lrTb"/>
            <w:noWrap w:val="false"/>
          </w:tcPr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характера,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тавленных государственными гражданскими служащими управления, руководителями подведомственных управлению государственных учреждений на официальном сайте управления в информационно-телекоммуникационной сети «Интернет» в установленный законодательством срок.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88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исполнение Указа Президента Российской Федерации </w:t>
            </w:r>
            <w:r>
              <w:rPr>
                <w:rFonts w:ascii="Times New Roman" w:hAnsi="Times New Roman" w:eastAsia="Arial" w:cs="Times New Roman"/>
                <w:color w:val="212529"/>
                <w:sz w:val="24"/>
                <w:highlight w:val="white"/>
              </w:rPr>
              <w:t xml:space="preserve">от 29.12.2022г. №968 </w:t>
            </w:r>
            <w:r>
              <w:rPr>
                <w:rFonts w:ascii="Times New Roman" w:hAnsi="Times New Roman" w:eastAsia="Arial" w:cs="Times New Roman"/>
                <w:sz w:val="24"/>
                <w:highlight w:val="white"/>
              </w:rPr>
              <w:t xml:space="preserve"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>
              <w:rPr>
                <w:rFonts w:ascii="Times New Roman" w:hAnsi="Times New Roman" w:eastAsia="Arial" w:cs="Times New Roman"/>
                <w:sz w:val="24"/>
                <w:highlight w:val="none"/>
              </w:rPr>
              <w:t xml:space="preserve"> сведения в 2024 году не размещаются.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87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08"/>
        </w:trPr>
        <w:tc>
          <w:tcPr>
            <w:shd w:val="clear" w:color="auto" w:fill="auto"/>
            <w:tcBorders>
              <w:bottom w:val="none" w:color="000000" w:sz="4" w:space="0"/>
            </w:tcBorders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 (при наличии оснований), представленных: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государственными гражданскими служащими управления;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руководителями подведомственных управлению государственных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pStyle w:val="87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2024 года основания для проведения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руководителями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отсутствовали.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89"/>
        </w:trPr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соответствием расходов лиц, замещающих должности  государственной гражданской службы осуществление полномочий по которым влечет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их доходам.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основания для инициирования осуществления контроля отсутствовали.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62"/>
        </w:trPr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pStyle w:val="8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государственными гражданскими служащими управления запретов, ограничений и требований, установленных в целях противодействия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нарушений запретов, ограничений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правонарушений, не установлено.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pStyle w:val="8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о каждом случае несоблюдения требований о предотвращении или об урегулировании конфликта интересов государственными гражданскими служащими управления на официальном сайте управления в информационно-телекоммуникационной сети «Интернет».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right="103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случаев несоблюдения требований о предотвращении или об урегулировании конфликта интересов государственными гражданскими служащими управления, информация на официальном сайте управления в информационно-телекоммуникационной сети «Интернет» не размещалась.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27"/>
        </w:trPr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pStyle w:val="8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карты коррупционных рисков управления (при наличии необходимости корректировки мер по минимизации (устранению) коррупционных рисков).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коррупционных рисков, возникающих при реализации государственными гражданскими служащими Новосибирской области, замещающими должности государственной гражданской службы в управлении, своих полномочий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новых коррупционных рисков не выявлено. Подготовлен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 карты коррупционных рисков с редакционными правками, который будет утвержден на очередном заседании комиссии по соблюдению требований к служебному поведению государственных гражданских служащих и урегулированию конфликта интересов (далее – комиссия).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81"/>
        </w:trPr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202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году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основания для проведения заседания комиссии отсутствовали.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координации и контроля за реализацией подведомственными государственными учреждениями, организациями, требований статьи 13.3 Федерального закона от 25.12.2008 № 273-ФЗ «О противодействии коррупции».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омственными учреждениями требований статьи 13.3 Федерального закона от 25.12.2008 № 273-ФЗ «О противодействии коррупции» осуществляется управлением посредством проведения ежегодного мониторинга принятия антикоррупционных мер в подведомственных учреждениях.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антикоррупционной работы утверждены во всех государственных учреждениях, подведомственных управлению.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учреждений на постоянной основе размещается информация по антикоррупционной тематике.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pStyle w:val="881"/>
              <w:ind w:left="102" w:right="10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управления в информационно-телекоммуникац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ионной сети «Интернет» активной ссылки на страницу официального сайта Губернатора Новосибирской области и Правительства Новосибирской области, на которой размещены вопросы анкеты по оценке населением уровня коррупции и эффективности принимаемых областными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исполнительными органами государственной власти Новосибирской области мер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возможности анкетирования по оценке уровня коррупции на сайте управления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активная ссылка на страницу официального сайта Губернатора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Новосибирской области, на которой размещены вопросы анкеты по оценке населением уровня коррупции и эффективности принимаемых областными исполнительными органами государственной власти Новосибирской области мер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507" w:type="dxa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jc w:val="both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 региональной антикоррупционной программы на соответствующий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6" w:type="dxa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предусмотренные региональной программой «Противодействие коррупции в Новосибирской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годы», утвержденной постановлением Губернатора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27.09.2021 № 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 исполняются с соблюдением установленных сроков.</w:t>
            </w:r>
            <w:bookmarkStart w:id="4" w:name="_GoBack"/>
            <w:r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w="16838" w:h="11905" w:orient="landscape"/>
      <w:pgMar w:top="1418" w:right="1134" w:bottom="567" w:left="1134" w:header="709" w:footer="709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/>
    <w:r/>
  </w:p>
  <w:p>
    <w:pPr>
      <w:pStyle w:val="87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74998093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2"/>
    <w:next w:val="872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3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2"/>
    <w:next w:val="8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3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3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3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3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3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3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3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79"/>
    <w:uiPriority w:val="99"/>
  </w:style>
  <w:style w:type="character" w:styleId="726">
    <w:name w:val="Footer Char"/>
    <w:basedOn w:val="873"/>
    <w:link w:val="882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2"/>
    <w:uiPriority w:val="99"/>
  </w:style>
  <w:style w:type="table" w:styleId="729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pPr>
      <w:spacing w:after="200" w:line="276" w:lineRule="auto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7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78">
    <w:name w:val="Hyperlink"/>
    <w:basedOn w:val="873"/>
    <w:uiPriority w:val="99"/>
    <w:unhideWhenUsed/>
    <w:rPr>
      <w:color w:val="0563c1" w:themeColor="hyperlink"/>
      <w:u w:val="single"/>
    </w:rPr>
  </w:style>
  <w:style w:type="paragraph" w:styleId="879">
    <w:name w:val="Header"/>
    <w:basedOn w:val="872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873"/>
    <w:link w:val="879"/>
    <w:uiPriority w:val="99"/>
  </w:style>
  <w:style w:type="paragraph" w:styleId="881">
    <w:name w:val="List Paragraph"/>
    <w:basedOn w:val="872"/>
    <w:uiPriority w:val="34"/>
    <w:qFormat/>
    <w:pPr>
      <w:contextualSpacing/>
      <w:ind w:left="720"/>
    </w:pPr>
  </w:style>
  <w:style w:type="paragraph" w:styleId="882">
    <w:name w:val="Footer"/>
    <w:basedOn w:val="872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873"/>
    <w:link w:val="882"/>
    <w:uiPriority w:val="99"/>
  </w:style>
  <w:style w:type="character" w:styleId="884">
    <w:name w:val="annotation reference"/>
    <w:uiPriority w:val="99"/>
    <w:unhideWhenUsed/>
    <w:rPr>
      <w:sz w:val="16"/>
      <w:szCs w:val="16"/>
    </w:rPr>
  </w:style>
  <w:style w:type="paragraph" w:styleId="885">
    <w:name w:val="annotation text"/>
    <w:basedOn w:val="872"/>
    <w:link w:val="886"/>
    <w:uiPriority w:val="99"/>
    <w:unhideWhenUsed/>
    <w:pPr>
      <w:spacing w:after="160" w:line="240" w:lineRule="auto"/>
    </w:pPr>
    <w:rPr>
      <w:rFonts w:ascii="Calibri" w:hAnsi="Calibri" w:eastAsia="Calibri" w:cs="Times New Roman"/>
      <w:sz w:val="20"/>
      <w:szCs w:val="20"/>
    </w:rPr>
  </w:style>
  <w:style w:type="character" w:styleId="886" w:customStyle="1">
    <w:name w:val="Текст примечания Знак"/>
    <w:basedOn w:val="873"/>
    <w:link w:val="885"/>
    <w:uiPriority w:val="99"/>
    <w:rPr>
      <w:rFonts w:ascii="Calibri" w:hAnsi="Calibri" w:eastAsia="Calibri" w:cs="Times New Roman"/>
      <w:sz w:val="20"/>
      <w:szCs w:val="20"/>
    </w:rPr>
  </w:style>
  <w:style w:type="paragraph" w:styleId="887">
    <w:name w:val="Balloon Text"/>
    <w:basedOn w:val="872"/>
    <w:link w:val="88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basedOn w:val="873"/>
    <w:link w:val="88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uip.nso.ru/page/726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revision>34</cp:revision>
  <dcterms:created xsi:type="dcterms:W3CDTF">2020-11-21T09:15:00Z</dcterms:created>
  <dcterms:modified xsi:type="dcterms:W3CDTF">2024-12-26T06:55:34Z</dcterms:modified>
</cp:coreProperties>
</file>