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от 29.06.2021 № 254-п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3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  <w:r/>
    </w:p>
    <w:p>
      <w:pPr>
        <w:pStyle w:val="943"/>
        <w:ind w:left="0" w:right="0" w:firstLine="709"/>
        <w:jc w:val="both"/>
      </w:pPr>
      <w:r>
        <w:t xml:space="preserve">1. Внести в постановление Правительства Новосибирской области от 2</w:t>
      </w:r>
      <w:r>
        <w:rPr>
          <w:color w:val="000000"/>
          <w:sz w:val="28"/>
          <w:szCs w:val="28"/>
        </w:rPr>
        <w:t xml:space="preserve">9.06.2021 № 254-п</w:t>
      </w:r>
      <w:r>
        <w:t xml:space="preserve"> «</w:t>
      </w:r>
      <w:r>
        <w:t xml:space="preserve">О порядке определения объема и условиях предоставления субсидий на иные цели государственным бюджетным и автономным учреждениям, подведомственным управлению информационных проектов Новосибирской области» следующее изменение:</w:t>
      </w:r>
      <w:r/>
    </w:p>
    <w:p>
      <w:pPr>
        <w:pStyle w:val="943"/>
        <w:ind w:left="0" w:right="0" w:firstLine="709"/>
        <w:jc w:val="both"/>
        <w:rPr>
          <w:highlight w:val="none"/>
        </w:rPr>
      </w:pPr>
      <w:r>
        <w:t xml:space="preserve">Поряд</w:t>
      </w:r>
      <w:r>
        <w:t xml:space="preserve">ок определения объема и условий предоставления субсидий на иные цели государственным бюджетным и автономным учреждениям, подведомственным управлению информационных проектов Новосибирской области  дополнить пунктом 31.1 следующего содержания:</w:t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«31.1. Управление о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существляет мониторинг достиже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  <w:r>
        <w:rPr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b w:val="0"/>
          <w:bCs w:val="0"/>
          <w:highlight w:val="none"/>
        </w:rPr>
      </w:pPr>
      <w:r>
        <w:rPr>
          <w:highlight w:val="none"/>
        </w:rPr>
        <w:t xml:space="preserve">2.</w:t>
      </w:r>
      <w:r>
        <w:rPr>
          <w:highlight w:val="none"/>
        </w:rPr>
        <w:t xml:space="preserve"> Установить, что пункт 31.1 </w:t>
      </w:r>
      <w:r>
        <w:t xml:space="preserve">Порядка определения объема и условий предоставления субсидий на иные цели государственным бюджетным и автономным учреждениям, подведомственным управлению информационных проектов Новосибирской области</w:t>
      </w:r>
      <w:r>
        <w:rPr>
          <w:b w:val="0"/>
          <w:bCs w:val="0"/>
          <w:highlight w:val="none"/>
        </w:rPr>
        <w:t xml:space="preserve"> </w:t>
      </w:r>
      <w:r>
        <w:rPr>
          <w:highlight w:val="none"/>
        </w:rPr>
        <w:t xml:space="preserve">(в редакции настоящего постановления), применяется начиная с предоставления бюджетным и автономным учреждениям, </w:t>
      </w:r>
      <w:r>
        <w:t xml:space="preserve">подведомственным управлению информационных проектов Новосибирской области</w:t>
      </w:r>
      <w:r>
        <w:rPr>
          <w:highlight w:val="none"/>
        </w:rPr>
        <w:t xml:space="preserve"> субсидий на иные цели в 2025 году.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43"/>
        <w:ind w:left="1418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709"/>
        <w:jc w:val="both"/>
        <w:tabs>
          <w:tab w:val="left" w:pos="709" w:leader="none"/>
        </w:tabs>
      </w:pPr>
      <w:r/>
      <w:r/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</w:rPr>
        <w:t xml:space="preserve">С.Е. Матвиенко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238 61 40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r>
        <w:rPr>
          <w:b/>
          <w:sz w:val="28"/>
          <w:szCs w:val="28"/>
        </w:rPr>
        <w:t xml:space="preserve"> СОГЛАСОВАНО: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rPr>
          <w:trHeight w:val="10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-34" w:firstLine="0"/>
              <w:jc w:val="both"/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  «___»__________ 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vMerge w:val="restart"/>
            <w:textDirection w:val="lrTb"/>
            <w:noWrap w:val="false"/>
          </w:tcPr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</w:t>
            </w:r>
            <w:r>
              <w:rPr>
                <w:sz w:val="28"/>
                <w:szCs w:val="28"/>
                <w:shd w:val="clear" w:color="auto" w:fill="ffffff"/>
              </w:rPr>
              <w:t xml:space="preserve">аместител</w:t>
            </w:r>
            <w:r>
              <w:rPr>
                <w:sz w:val="28"/>
                <w:szCs w:val="28"/>
                <w:shd w:val="clear" w:color="auto" w:fill="ffffff"/>
              </w:rPr>
              <w:t xml:space="preserve">ь</w:t>
            </w:r>
            <w:r>
              <w:rPr>
                <w:sz w:val="28"/>
                <w:szCs w:val="28"/>
                <w:shd w:val="clear" w:color="auto" w:fill="ffffff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6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vMerge w:val="restart"/>
            <w:textDirection w:val="lrTb"/>
            <w:noWrap w:val="false"/>
          </w:tcPr>
          <w:p>
            <w:pPr>
              <w:pStyle w:val="6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«___»________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Т.Н Деркач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</w:rPr>
              <w:t xml:space="preserve">     «___» ____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6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</w:t>
            </w:r>
            <w:r>
              <w:rPr>
                <w:sz w:val="28"/>
                <w:szCs w:val="28"/>
              </w:rPr>
              <w:t xml:space="preserve">_2024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 w:val="20"/>
          <w:szCs w:val="20"/>
        </w:rPr>
        <w:t xml:space="preserve">Начальник  отдела правового, организационного</w:t>
      </w:r>
      <w:r>
        <w:rPr>
          <w:sz w:val="20"/>
          <w:szCs w:val="20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 кадрового обеспечения    УИП НСО</w:t>
      </w:r>
      <w:r>
        <w:rPr>
          <w:sz w:val="20"/>
          <w:szCs w:val="20"/>
        </w:rPr>
        <w:t xml:space="preserve">                                                                                                  Антошихина Т.Н.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/>
      <w:r/>
    </w:p>
    <w:p>
      <w:r/>
      <w:r/>
    </w:p>
    <w:p>
      <w:r>
        <w:rPr>
          <w:sz w:val="20"/>
          <w:szCs w:val="20"/>
        </w:rPr>
        <w:t xml:space="preserve">Рудько</w:t>
      </w:r>
      <w:r>
        <w:rPr>
          <w:sz w:val="20"/>
          <w:szCs w:val="20"/>
        </w:rPr>
        <w:t xml:space="preserve"> К.В.</w:t>
      </w:r>
      <w:r/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238-61-43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22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2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0"/>
    <w:uiPriority w:val="34"/>
    <w:qFormat/>
    <w:pPr>
      <w:contextualSpacing/>
      <w:ind w:left="720"/>
    </w:pPr>
  </w:style>
  <w:style w:type="paragraph" w:styleId="720">
    <w:name w:val="No Spacing"/>
    <w:uiPriority w:val="1"/>
    <w:qFormat/>
  </w:style>
  <w:style w:type="paragraph" w:styleId="721">
    <w:name w:val="Title"/>
    <w:basedOn w:val="680"/>
    <w:next w:val="680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80"/>
    <w:next w:val="680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0"/>
    <w:next w:val="68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0"/>
    <w:next w:val="680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0"/>
    <w:link w:val="73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0" w:customStyle="1">
    <w:name w:val="Верхний колонтитул Знак1"/>
    <w:link w:val="729"/>
    <w:uiPriority w:val="99"/>
  </w:style>
  <w:style w:type="paragraph" w:styleId="731">
    <w:name w:val="Footer"/>
    <w:basedOn w:val="680"/>
    <w:link w:val="734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0"/>
    <w:qFormat/>
    <w:pPr>
      <w:spacing w:before="120" w:after="120"/>
      <w:suppressLineNumbers/>
    </w:pPr>
    <w:rPr>
      <w:rFonts w:cs="Arial"/>
      <w:i/>
      <w:iCs/>
    </w:rPr>
  </w:style>
  <w:style w:type="character" w:styleId="734" w:customStyle="1">
    <w:name w:val="Нижний колонтитул Знак1"/>
    <w:link w:val="731"/>
    <w:uiPriority w:val="99"/>
  </w:style>
  <w:style w:type="table" w:styleId="73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rPr>
      <w:color w:val="0000ff"/>
      <w:u w:val="single"/>
    </w:rPr>
  </w:style>
  <w:style w:type="paragraph" w:styleId="862">
    <w:name w:val="footnote text"/>
    <w:basedOn w:val="68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0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0"/>
    <w:next w:val="680"/>
    <w:uiPriority w:val="39"/>
    <w:unhideWhenUsed/>
    <w:pPr>
      <w:spacing w:after="57"/>
    </w:pPr>
  </w:style>
  <w:style w:type="paragraph" w:styleId="869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70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71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2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3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4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5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6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0"/>
    <w:next w:val="680"/>
    <w:uiPriority w:val="99"/>
    <w:unhideWhenUsed/>
  </w:style>
  <w:style w:type="character" w:styleId="879" w:customStyle="1">
    <w:name w:val="Основной шрифт абзаца3"/>
  </w:style>
  <w:style w:type="character" w:styleId="880" w:customStyle="1">
    <w:name w:val="Основной шрифт абзаца2"/>
  </w:style>
  <w:style w:type="character" w:styleId="881" w:customStyle="1">
    <w:name w:val="WW8Num1z0"/>
  </w:style>
  <w:style w:type="character" w:styleId="882" w:customStyle="1">
    <w:name w:val="WW8Num1z1"/>
  </w:style>
  <w:style w:type="character" w:styleId="883" w:customStyle="1">
    <w:name w:val="WW8Num1z2"/>
  </w:style>
  <w:style w:type="character" w:styleId="884" w:customStyle="1">
    <w:name w:val="WW8Num1z3"/>
  </w:style>
  <w:style w:type="character" w:styleId="885" w:customStyle="1">
    <w:name w:val="WW8Num1z4"/>
  </w:style>
  <w:style w:type="character" w:styleId="886" w:customStyle="1">
    <w:name w:val="WW8Num1z5"/>
  </w:style>
  <w:style w:type="character" w:styleId="887" w:customStyle="1">
    <w:name w:val="WW8Num1z6"/>
  </w:style>
  <w:style w:type="character" w:styleId="888" w:customStyle="1">
    <w:name w:val="WW8Num1z7"/>
  </w:style>
  <w:style w:type="character" w:styleId="889" w:customStyle="1">
    <w:name w:val="WW8Num1z8"/>
  </w:style>
  <w:style w:type="character" w:styleId="890" w:customStyle="1">
    <w:name w:val="WW8Num2z0"/>
  </w:style>
  <w:style w:type="character" w:styleId="891" w:customStyle="1">
    <w:name w:val="WW8Num2z1"/>
  </w:style>
  <w:style w:type="character" w:styleId="892" w:customStyle="1">
    <w:name w:val="WW8Num2z2"/>
  </w:style>
  <w:style w:type="character" w:styleId="893" w:customStyle="1">
    <w:name w:val="WW8Num2z3"/>
  </w:style>
  <w:style w:type="character" w:styleId="894" w:customStyle="1">
    <w:name w:val="WW8Num2z4"/>
  </w:style>
  <w:style w:type="character" w:styleId="895" w:customStyle="1">
    <w:name w:val="WW8Num2z5"/>
  </w:style>
  <w:style w:type="character" w:styleId="896" w:customStyle="1">
    <w:name w:val="WW8Num2z6"/>
  </w:style>
  <w:style w:type="character" w:styleId="897" w:customStyle="1">
    <w:name w:val="WW8Num2z7"/>
  </w:style>
  <w:style w:type="character" w:styleId="898" w:customStyle="1">
    <w:name w:val="WW8Num2z8"/>
  </w:style>
  <w:style w:type="character" w:styleId="899" w:customStyle="1">
    <w:name w:val="WW8Num3z0"/>
  </w:style>
  <w:style w:type="character" w:styleId="900" w:customStyle="1">
    <w:name w:val="WW8Num3z1"/>
  </w:style>
  <w:style w:type="character" w:styleId="901" w:customStyle="1">
    <w:name w:val="WW8Num3z2"/>
  </w:style>
  <w:style w:type="character" w:styleId="902" w:customStyle="1">
    <w:name w:val="WW8Num3z3"/>
  </w:style>
  <w:style w:type="character" w:styleId="903" w:customStyle="1">
    <w:name w:val="WW8Num3z4"/>
  </w:style>
  <w:style w:type="character" w:styleId="904" w:customStyle="1">
    <w:name w:val="WW8Num3z5"/>
  </w:style>
  <w:style w:type="character" w:styleId="905" w:customStyle="1">
    <w:name w:val="WW8Num3z6"/>
  </w:style>
  <w:style w:type="character" w:styleId="906" w:customStyle="1">
    <w:name w:val="WW8Num3z7"/>
  </w:style>
  <w:style w:type="character" w:styleId="907" w:customStyle="1">
    <w:name w:val="WW8Num3z8"/>
  </w:style>
  <w:style w:type="character" w:styleId="908" w:customStyle="1">
    <w:name w:val="WW8Num4z0"/>
  </w:style>
  <w:style w:type="character" w:styleId="909" w:customStyle="1">
    <w:name w:val="WW8Num4z1"/>
  </w:style>
  <w:style w:type="character" w:styleId="910" w:customStyle="1">
    <w:name w:val="WW8Num4z2"/>
  </w:style>
  <w:style w:type="character" w:styleId="911" w:customStyle="1">
    <w:name w:val="WW8Num4z3"/>
  </w:style>
  <w:style w:type="character" w:styleId="912" w:customStyle="1">
    <w:name w:val="WW8Num4z4"/>
  </w:style>
  <w:style w:type="character" w:styleId="913" w:customStyle="1">
    <w:name w:val="WW8Num4z5"/>
  </w:style>
  <w:style w:type="character" w:styleId="914" w:customStyle="1">
    <w:name w:val="WW8Num4z6"/>
  </w:style>
  <w:style w:type="character" w:styleId="915" w:customStyle="1">
    <w:name w:val="WW8Num4z7"/>
  </w:style>
  <w:style w:type="character" w:styleId="916" w:customStyle="1">
    <w:name w:val="WW8Num4z8"/>
  </w:style>
  <w:style w:type="character" w:styleId="917" w:customStyle="1">
    <w:name w:val="WW8Num5z0"/>
  </w:style>
  <w:style w:type="character" w:styleId="918" w:customStyle="1">
    <w:name w:val="WW8Num5z1"/>
  </w:style>
  <w:style w:type="character" w:styleId="919" w:customStyle="1">
    <w:name w:val="WW8Num5z2"/>
  </w:style>
  <w:style w:type="character" w:styleId="920" w:customStyle="1">
    <w:name w:val="WW8Num5z3"/>
  </w:style>
  <w:style w:type="character" w:styleId="921" w:customStyle="1">
    <w:name w:val="WW8Num5z4"/>
  </w:style>
  <w:style w:type="character" w:styleId="922" w:customStyle="1">
    <w:name w:val="WW8Num5z5"/>
  </w:style>
  <w:style w:type="character" w:styleId="923" w:customStyle="1">
    <w:name w:val="WW8Num5z6"/>
  </w:style>
  <w:style w:type="character" w:styleId="924" w:customStyle="1">
    <w:name w:val="WW8Num5z7"/>
  </w:style>
  <w:style w:type="character" w:styleId="925" w:customStyle="1">
    <w:name w:val="WW8Num5z8"/>
  </w:style>
  <w:style w:type="character" w:styleId="926" w:customStyle="1">
    <w:name w:val="Основной шрифт абзаца1"/>
  </w:style>
  <w:style w:type="character" w:styleId="92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28" w:customStyle="1">
    <w:name w:val="Знак примечания1"/>
    <w:rPr>
      <w:sz w:val="16"/>
      <w:szCs w:val="16"/>
    </w:rPr>
  </w:style>
  <w:style w:type="character" w:styleId="929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30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31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32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33" w:customStyle="1">
    <w:name w:val="Заголовок2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4">
    <w:name w:val="Body Text"/>
    <w:basedOn w:val="680"/>
    <w:pPr>
      <w:spacing w:after="140" w:line="276" w:lineRule="auto"/>
    </w:pPr>
  </w:style>
  <w:style w:type="paragraph" w:styleId="935">
    <w:name w:val="List"/>
    <w:basedOn w:val="934"/>
    <w:rPr>
      <w:rFonts w:cs="Arial"/>
    </w:rPr>
  </w:style>
  <w:style w:type="paragraph" w:styleId="936" w:customStyle="1">
    <w:name w:val="Указатель3"/>
    <w:basedOn w:val="680"/>
    <w:pPr>
      <w:suppressLineNumbers/>
    </w:pPr>
    <w:rPr>
      <w:rFonts w:cs="Arial"/>
    </w:rPr>
  </w:style>
  <w:style w:type="paragraph" w:styleId="937" w:customStyle="1">
    <w:name w:val="Заголовок1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8" w:customStyle="1">
    <w:name w:val="Название объекта2"/>
    <w:basedOn w:val="680"/>
    <w:pPr>
      <w:spacing w:before="120" w:after="120"/>
      <w:suppressLineNumbers/>
    </w:pPr>
    <w:rPr>
      <w:rFonts w:cs="Arial"/>
      <w:i/>
      <w:iCs/>
    </w:rPr>
  </w:style>
  <w:style w:type="paragraph" w:styleId="939" w:customStyle="1">
    <w:name w:val="Указатель2"/>
    <w:basedOn w:val="680"/>
    <w:pPr>
      <w:suppressLineNumbers/>
    </w:pPr>
    <w:rPr>
      <w:rFonts w:cs="Arial"/>
    </w:rPr>
  </w:style>
  <w:style w:type="paragraph" w:styleId="940" w:customStyle="1">
    <w:name w:val="Название объекта1"/>
    <w:basedOn w:val="680"/>
    <w:pPr>
      <w:spacing w:before="120" w:after="120"/>
      <w:suppressLineNumbers/>
    </w:pPr>
    <w:rPr>
      <w:rFonts w:cs="Arial"/>
      <w:i/>
      <w:iCs/>
    </w:rPr>
  </w:style>
  <w:style w:type="paragraph" w:styleId="941" w:customStyle="1">
    <w:name w:val="Указатель1"/>
    <w:basedOn w:val="680"/>
    <w:pPr>
      <w:suppressLineNumbers/>
    </w:pPr>
    <w:rPr>
      <w:rFonts w:cs="Arial"/>
    </w:rPr>
  </w:style>
  <w:style w:type="paragraph" w:styleId="942">
    <w:name w:val="Balloon Text"/>
    <w:basedOn w:val="680"/>
    <w:rPr>
      <w:rFonts w:ascii="Segoe UI" w:hAnsi="Segoe UI" w:cs="Segoe UI"/>
      <w:sz w:val="18"/>
      <w:szCs w:val="18"/>
      <w:lang w:val="en-US"/>
    </w:rPr>
  </w:style>
  <w:style w:type="paragraph" w:styleId="943" w:customStyle="1">
    <w:name w:val="ConsPlusNormal"/>
    <w:rPr>
      <w:rFonts w:eastAsia="Calibri"/>
      <w:sz w:val="28"/>
      <w:szCs w:val="28"/>
    </w:rPr>
  </w:style>
  <w:style w:type="paragraph" w:styleId="944" w:customStyle="1">
    <w:name w:val="Текст примечания1"/>
    <w:basedOn w:val="680"/>
    <w:rPr>
      <w:sz w:val="20"/>
      <w:szCs w:val="20"/>
      <w:lang w:val="en-US"/>
    </w:rPr>
  </w:style>
  <w:style w:type="paragraph" w:styleId="945">
    <w:name w:val="annotation subject"/>
    <w:basedOn w:val="944"/>
    <w:next w:val="944"/>
    <w:rPr>
      <w:b/>
      <w:bCs/>
    </w:rPr>
  </w:style>
  <w:style w:type="paragraph" w:styleId="946" w:customStyle="1">
    <w:name w:val="Верхний и нижний колонтитулы"/>
    <w:basedOn w:val="680"/>
    <w:pPr>
      <w:tabs>
        <w:tab w:val="center" w:pos="4819" w:leader="none"/>
        <w:tab w:val="right" w:pos="9638" w:leader="none"/>
      </w:tabs>
      <w:suppressLineNumbers/>
    </w:pPr>
  </w:style>
  <w:style w:type="paragraph" w:styleId="94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9" w:customStyle="1">
    <w:name w:val="Содержимое таблицы"/>
    <w:basedOn w:val="680"/>
    <w:pPr>
      <w:suppressLineNumbers/>
    </w:pPr>
  </w:style>
  <w:style w:type="paragraph" w:styleId="950" w:customStyle="1">
    <w:name w:val="Заголовок таблицы"/>
    <w:basedOn w:val="949"/>
    <w:pPr>
      <w:jc w:val="center"/>
    </w:pPr>
    <w:rPr>
      <w:b/>
      <w:bCs/>
    </w:rPr>
  </w:style>
  <w:style w:type="paragraph" w:styleId="951" w:customStyle="1">
    <w:name w:val="Left"/>
    <w:pPr>
      <w:widowControl w:val="off"/>
    </w:pPr>
    <w:rPr>
      <w:sz w:val="24"/>
      <w:szCs w:val="24"/>
      <w:lang w:eastAsia="ru-RU"/>
    </w:rPr>
  </w:style>
  <w:style w:type="character" w:styleId="952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15</cp:revision>
  <dcterms:created xsi:type="dcterms:W3CDTF">2023-09-04T08:49:00Z</dcterms:created>
  <dcterms:modified xsi:type="dcterms:W3CDTF">2024-04-19T03:43:35Z</dcterms:modified>
  <cp:version>1048576</cp:version>
</cp:coreProperties>
</file>